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EC692E"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EC692E">
        <w:rPr>
          <w:rFonts w:ascii="Trebuchet MS" w:hAnsi="Trebuchet MS"/>
          <w:sz w:val="22"/>
          <w:szCs w:val="22"/>
          <w:lang w:val="ro-RO"/>
        </w:rPr>
        <w:t xml:space="preserve">Certificatul de înregistrare fiscală, atât pentru solicitant cât </w:t>
      </w:r>
      <w:r w:rsidR="0011792A" w:rsidRPr="00EC692E">
        <w:rPr>
          <w:rFonts w:ascii="Trebuchet MS" w:hAnsi="Trebuchet MS"/>
          <w:sz w:val="22"/>
          <w:szCs w:val="22"/>
          <w:lang w:val="ro-RO"/>
        </w:rPr>
        <w:t>ș</w:t>
      </w:r>
      <w:r w:rsidRPr="00EC692E">
        <w:rPr>
          <w:rFonts w:ascii="Trebuchet MS" w:hAnsi="Trebuchet MS"/>
          <w:sz w:val="22"/>
          <w:szCs w:val="22"/>
          <w:lang w:val="ro-RO"/>
        </w:rPr>
        <w:t>i pentru partener;</w:t>
      </w:r>
    </w:p>
    <w:p w14:paraId="62012FAB" w14:textId="3A47B46A" w:rsidR="00820DD4" w:rsidRPr="00EC692E"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EC692E">
        <w:rPr>
          <w:rFonts w:ascii="Trebuchet MS" w:hAnsi="Trebuchet MS"/>
          <w:sz w:val="22"/>
          <w:szCs w:val="22"/>
          <w:lang w:val="ro-RO"/>
        </w:rPr>
        <w:t>Certificatul de atestare fiscală pentru persoane juridice emis de ANAF pentru partener/parteneri</w:t>
      </w:r>
      <w:r w:rsidR="00EC692E" w:rsidRPr="00EC692E">
        <w:rPr>
          <w:rFonts w:ascii="Trebuchet MS" w:hAnsi="Trebuchet MS"/>
          <w:sz w:val="22"/>
          <w:szCs w:val="22"/>
          <w:lang w:val="ro-RO"/>
        </w:rPr>
        <w:t xml:space="preserve"> </w:t>
      </w:r>
      <w:r w:rsidR="00EC692E" w:rsidRPr="00EC692E">
        <w:rPr>
          <w:rFonts w:ascii="Trebuchet MS" w:hAnsi="Trebuchet MS"/>
          <w:sz w:val="22"/>
          <w:szCs w:val="22"/>
          <w:lang w:val="ro-RO"/>
        </w:rPr>
        <w:t>(nu se depune de către autoritățile administrației publice centrale)</w:t>
      </w:r>
      <w:r w:rsidRPr="00EC692E">
        <w:rPr>
          <w:rFonts w:ascii="Trebuchet MS" w:hAnsi="Trebuchet MS"/>
          <w:sz w:val="22"/>
          <w:szCs w:val="22"/>
          <w:lang w:val="ro-RO"/>
        </w:rPr>
        <w:t>, valabil pe o perioadă de cel pu</w:t>
      </w:r>
      <w:r w:rsidR="0011792A" w:rsidRPr="00EC692E">
        <w:rPr>
          <w:rFonts w:ascii="Trebuchet MS" w:hAnsi="Trebuchet MS"/>
          <w:sz w:val="22"/>
          <w:szCs w:val="22"/>
          <w:lang w:val="ro-RO"/>
        </w:rPr>
        <w:t>ț</w:t>
      </w:r>
      <w:r w:rsidRPr="00EC692E">
        <w:rPr>
          <w:rFonts w:ascii="Trebuchet MS" w:hAnsi="Trebuchet MS"/>
          <w:sz w:val="22"/>
          <w:szCs w:val="22"/>
          <w:lang w:val="ro-RO"/>
        </w:rPr>
        <w:t>in 20 de zile de la momentul depunerii acestuia la AM POCA, numai în situa</w:t>
      </w:r>
      <w:r w:rsidR="0011792A" w:rsidRPr="00EC692E">
        <w:rPr>
          <w:rFonts w:ascii="Trebuchet MS" w:hAnsi="Trebuchet MS"/>
          <w:sz w:val="22"/>
          <w:szCs w:val="22"/>
          <w:lang w:val="ro-RO"/>
        </w:rPr>
        <w:t>ț</w:t>
      </w:r>
      <w:r w:rsidRPr="00EC692E">
        <w:rPr>
          <w:rFonts w:ascii="Trebuchet MS" w:hAnsi="Trebuchet MS"/>
          <w:sz w:val="22"/>
          <w:szCs w:val="22"/>
          <w:lang w:val="ro-RO"/>
        </w:rPr>
        <w:t>ia în care aceste documente nu pot fi ob</w:t>
      </w:r>
      <w:r w:rsidR="0011792A" w:rsidRPr="00EC692E">
        <w:rPr>
          <w:rFonts w:ascii="Trebuchet MS" w:hAnsi="Trebuchet MS"/>
          <w:sz w:val="22"/>
          <w:szCs w:val="22"/>
          <w:lang w:val="ro-RO"/>
        </w:rPr>
        <w:t>ț</w:t>
      </w:r>
      <w:r w:rsidRPr="00EC692E">
        <w:rPr>
          <w:rFonts w:ascii="Trebuchet MS" w:hAnsi="Trebuchet MS"/>
          <w:sz w:val="22"/>
          <w:szCs w:val="22"/>
          <w:lang w:val="ro-RO"/>
        </w:rPr>
        <w:t>inute de către AM, în baza protocoalelor interinstitu</w:t>
      </w:r>
      <w:r w:rsidR="0011792A" w:rsidRPr="00EC692E">
        <w:rPr>
          <w:rFonts w:ascii="Trebuchet MS" w:hAnsi="Trebuchet MS"/>
          <w:sz w:val="22"/>
          <w:szCs w:val="22"/>
          <w:lang w:val="ro-RO"/>
        </w:rPr>
        <w:t>ț</w:t>
      </w:r>
      <w:r w:rsidRPr="00EC692E">
        <w:rPr>
          <w:rFonts w:ascii="Trebuchet MS" w:hAnsi="Trebuchet MS"/>
          <w:sz w:val="22"/>
          <w:szCs w:val="22"/>
          <w:lang w:val="ro-RO"/>
        </w:rPr>
        <w:t>ionale;</w:t>
      </w:r>
    </w:p>
    <w:p w14:paraId="628E8D09" w14:textId="6BE11C73"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EC692E">
        <w:rPr>
          <w:rFonts w:ascii="Trebuchet MS" w:hAnsi="Trebuchet MS"/>
          <w:sz w:val="22"/>
          <w:szCs w:val="22"/>
          <w:lang w:val="ro-RO"/>
        </w:rPr>
        <w:t>Certificatul de atestare fiscală pentru persoane</w:t>
      </w:r>
      <w:r w:rsidRPr="009B03BA">
        <w:rPr>
          <w:rFonts w:ascii="Trebuchet MS" w:hAnsi="Trebuchet MS"/>
          <w:sz w:val="22"/>
          <w:szCs w:val="22"/>
          <w:lang w:val="ro-RO"/>
        </w:rPr>
        <w:t xml:space="preserv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i alte venituri ale bugetului local pentru partener/parteneri</w:t>
      </w:r>
      <w:r w:rsidR="00860C79" w:rsidRPr="009B03BA">
        <w:rPr>
          <w:rFonts w:ascii="Trebuchet MS" w:hAnsi="Trebuchet MS"/>
          <w:sz w:val="22"/>
          <w:szCs w:val="22"/>
          <w:lang w:val="ro-RO"/>
        </w:rPr>
        <w:t xml:space="preserve"> (nu se depune de către institu</w:t>
      </w:r>
      <w:r w:rsidR="0011792A" w:rsidRPr="009B03BA">
        <w:rPr>
          <w:rFonts w:ascii="Trebuchet MS" w:hAnsi="Trebuchet MS"/>
          <w:sz w:val="22"/>
          <w:szCs w:val="22"/>
          <w:lang w:val="ro-RO"/>
        </w:rPr>
        <w:t>ț</w:t>
      </w:r>
      <w:r w:rsidR="00860C79" w:rsidRPr="009B03BA">
        <w:rPr>
          <w:rFonts w:ascii="Trebuchet MS" w:hAnsi="Trebuchet MS"/>
          <w:sz w:val="22"/>
          <w:szCs w:val="22"/>
          <w:lang w:val="ro-RO"/>
        </w:rPr>
        <w:t>iile publice)</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1"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1"/>
      <w:r w:rsidRPr="009B03BA">
        <w:rPr>
          <w:rFonts w:ascii="Trebuchet MS" w:hAnsi="Trebuchet MS"/>
          <w:sz w:val="22"/>
          <w:szCs w:val="22"/>
          <w:lang w:val="ro-RO"/>
        </w:rPr>
        <w:t>;</w:t>
      </w:r>
      <w:bookmarkStart w:id="2"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2"/>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bookmarkStart w:id="3" w:name="_GoBack"/>
      <w:bookmarkEnd w:id="3"/>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4B46" w14:textId="77777777" w:rsidR="008E1FB9" w:rsidRPr="00280C0F" w:rsidRDefault="008E1FB9">
      <w:pPr>
        <w:rPr>
          <w:sz w:val="17"/>
          <w:szCs w:val="17"/>
        </w:rPr>
      </w:pPr>
      <w:r w:rsidRPr="00280C0F">
        <w:rPr>
          <w:sz w:val="17"/>
          <w:szCs w:val="17"/>
        </w:rPr>
        <w:separator/>
      </w:r>
    </w:p>
  </w:endnote>
  <w:endnote w:type="continuationSeparator" w:id="0">
    <w:p w14:paraId="1C934E84" w14:textId="77777777" w:rsidR="008E1FB9" w:rsidRPr="00280C0F" w:rsidRDefault="008E1FB9">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A218" w14:textId="77777777" w:rsidR="00A14ED6" w:rsidRDefault="00A14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1EC0" w14:textId="77777777" w:rsidR="00A14ED6" w:rsidRDefault="00A1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7577" w14:textId="77777777" w:rsidR="008E1FB9" w:rsidRPr="00280C0F" w:rsidRDefault="008E1FB9">
      <w:pPr>
        <w:rPr>
          <w:sz w:val="17"/>
          <w:szCs w:val="17"/>
        </w:rPr>
      </w:pPr>
      <w:r w:rsidRPr="00280C0F">
        <w:rPr>
          <w:sz w:val="17"/>
          <w:szCs w:val="17"/>
        </w:rPr>
        <w:separator/>
      </w:r>
    </w:p>
  </w:footnote>
  <w:footnote w:type="continuationSeparator" w:id="0">
    <w:p w14:paraId="3F6AFD77" w14:textId="77777777" w:rsidR="008E1FB9" w:rsidRPr="00280C0F" w:rsidRDefault="008E1FB9">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B2EA" w14:textId="77777777" w:rsidR="00A14ED6" w:rsidRDefault="00A14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5E5C9006"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6A0558">
      <w:rPr>
        <w:rFonts w:ascii="Trebuchet MS" w:eastAsia="Calibri" w:hAnsi="Trebuchet MS" w:cs="Arial"/>
        <w:i/>
        <w:color w:val="1F497D"/>
        <w:sz w:val="18"/>
        <w:szCs w:val="18"/>
        <w:lang w:val="ro-RO"/>
      </w:rPr>
      <w:t>53</w:t>
    </w:r>
    <w:r w:rsidR="00A14ED6">
      <w:rPr>
        <w:rFonts w:ascii="Trebuchet MS" w:eastAsia="Calibri" w:hAnsi="Trebuchet MS" w:cs="Arial"/>
        <w:i/>
        <w:color w:val="1F497D"/>
        <w:sz w:val="18"/>
        <w:szCs w:val="18"/>
        <w:lang w:val="ro-RO"/>
      </w:rPr>
      <w:t>5</w:t>
    </w:r>
    <w:r>
      <w:rPr>
        <w:rFonts w:ascii="Trebuchet MS" w:eastAsia="Calibri" w:hAnsi="Trebuchet MS" w:cs="Arial"/>
        <w:i/>
        <w:color w:val="1F497D"/>
        <w:sz w:val="18"/>
        <w:szCs w:val="18"/>
        <w:lang w:val="ro-RO"/>
      </w:rPr>
      <w:t>/1/</w:t>
    </w:r>
    <w:r w:rsidR="00A14ED6">
      <w:rPr>
        <w:rFonts w:ascii="Trebuchet MS" w:eastAsia="Calibri" w:hAnsi="Trebuchet MS" w:cs="Arial"/>
        <w:i/>
        <w:color w:val="1F497D"/>
        <w:sz w:val="18"/>
        <w:szCs w:val="18"/>
        <w:lang w:val="ro-RO"/>
      </w:rPr>
      <w:t>2</w:t>
    </w:r>
    <w:r>
      <w:rPr>
        <w:rFonts w:ascii="Trebuchet MS" w:eastAsia="Calibri" w:hAnsi="Trebuchet MS" w:cs="Arial"/>
        <w:i/>
        <w:color w:val="1F497D"/>
        <w:sz w:val="18"/>
        <w:szCs w:val="18"/>
        <w:lang w:val="ro-RO"/>
      </w:rPr>
      <w:t xml:space="preserve"> (IP1</w:t>
    </w:r>
    <w:r w:rsidR="00A14ED6">
      <w:rPr>
        <w:rFonts w:ascii="Trebuchet MS" w:eastAsia="Calibri" w:hAnsi="Trebuchet MS" w:cs="Arial"/>
        <w:i/>
        <w:color w:val="1F497D"/>
        <w:sz w:val="18"/>
        <w:szCs w:val="18"/>
        <w:lang w:val="ro-RO"/>
      </w:rPr>
      <w:t>5</w:t>
    </w:r>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85B6" w14:textId="77777777" w:rsidR="00A14ED6" w:rsidRDefault="00A14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1A80"/>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1BAD"/>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5E40"/>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58"/>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1FB9"/>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4ED6"/>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4B16"/>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35C"/>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374B"/>
    <w:rsid w:val="00E6426C"/>
    <w:rsid w:val="00E649B0"/>
    <w:rsid w:val="00E6670D"/>
    <w:rsid w:val="00E66C0F"/>
    <w:rsid w:val="00E67315"/>
    <w:rsid w:val="00E67440"/>
    <w:rsid w:val="00E67642"/>
    <w:rsid w:val="00E70D6A"/>
    <w:rsid w:val="00E71933"/>
    <w:rsid w:val="00E72C46"/>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C692E"/>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1B601-AF43-4611-9CDF-92100528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3621</Words>
  <Characters>20641</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3</cp:revision>
  <cp:lastPrinted>2015-10-16T09:08:00Z</cp:lastPrinted>
  <dcterms:created xsi:type="dcterms:W3CDTF">2019-02-19T13:45:00Z</dcterms:created>
  <dcterms:modified xsi:type="dcterms:W3CDTF">2019-02-19T13:46:00Z</dcterms:modified>
</cp:coreProperties>
</file>