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25B2A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73D03119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4F879EE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1B6A5E07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5AA5FFB8" w14:textId="4884E206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2CDFEBB4" w14:textId="76F07ED5" w:rsidR="00374F6C" w:rsidRPr="00E2348F" w:rsidRDefault="00374F6C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4F7F">
        <w:rPr>
          <w:rFonts w:asciiTheme="minorHAnsi" w:hAnsiTheme="minorHAnsi" w:cstheme="minorHAnsi"/>
          <w:b/>
          <w:sz w:val="22"/>
          <w:szCs w:val="22"/>
          <w:lang w:val="ro-RO"/>
        </w:rPr>
        <w:t>Anexa nr. II.4 - Consimțământ pentru prelucrarea datelor cu caracter personal</w:t>
      </w:r>
      <w:r w:rsidR="00E2348F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2348F" w:rsidRPr="00E2348F">
        <w:rPr>
          <w:rFonts w:asciiTheme="minorHAnsi" w:hAnsiTheme="minorHAnsi" w:cstheme="minorHAnsi"/>
          <w:bCs/>
          <w:sz w:val="22"/>
          <w:szCs w:val="22"/>
          <w:lang w:val="ro-RO"/>
        </w:rPr>
        <w:t>(pentru reprezentantul legal/împuternicit și persoana de contact</w:t>
      </w:r>
      <w:r w:rsidR="00E2348F" w:rsidRPr="00E2348F">
        <w:rPr>
          <w:bCs/>
        </w:rPr>
        <w:t xml:space="preserve"> </w:t>
      </w:r>
      <w:r w:rsidR="00E2348F" w:rsidRPr="00E2348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menționată în cererea de finanțare). </w:t>
      </w:r>
    </w:p>
    <w:p w14:paraId="2D501322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3FAB84B" w14:textId="77777777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14:paraId="747D173E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7DF1AB6B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3B4A187D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249A4D8D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4E9DE167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9DD1BB0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527BFEA9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79E57D6C" w14:textId="77777777"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7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7"/>
    <w:p w14:paraId="740984E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2C3B9444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04B3B72B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D86A484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31624920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229C1D21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5A163FEC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229F1EC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4D6C43D5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4D731B2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7624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53E623D3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3EF94260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7B7425DA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31DD1940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0A1E8C3D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0F6A76C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2181BAF8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8EE82A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11804BC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517A6AA0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60595D2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5F57A9FC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41211C5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2E47F4E4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766D05B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8AA1C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557A493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2C32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032C4C5D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016C9F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0DD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A76C9E9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F32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00AEA10C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2CB87E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BD1491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665008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B6281E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ED5F0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629EC90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D1F55C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E5D0AE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65182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0AF613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2772AB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3FD5D3B7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30BD2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E23D94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27FD0F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5C8CB8C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54494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D39C44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D99B82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A4ECCF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2B75B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7D9A18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C1AB68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6CD4AD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7AC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2CBC8580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06A0D0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5B3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29E5C75F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83447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7BB173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F1E47F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54F61D91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7635AD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34E4E2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0D916DA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57BE18A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185D4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1F6C73B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2C3DFC6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7BB6254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EA00395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1F8AD3EB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5C0C679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4B64F1F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BF0AE8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4D89A7F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A3B16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1AD500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E642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D348ADA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5B5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661F67F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BF8A0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F78484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4441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2FB0F8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AB840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A023F0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02C5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6A49F3D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C511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2DB4139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6B8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55363F7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06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796EC10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D99B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F6D1AB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EFB7D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79127A0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CE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8A0746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DFCB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2E9EA40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F209FB7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7901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8306DC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FF21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0A51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C4FBD6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C049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9489C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35924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80E012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2E878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D36B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B16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6B10C36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01B1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C82A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DCC3C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4C5BCC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E5B78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DAF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184B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35475D4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E8F03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7A39058D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520D0F4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96F39F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2D6A6CBC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FDBA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E89C5FD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A44A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85CFCD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61A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317852D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25BC64D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25D352CA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371BC88E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FE9B9C4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0488674D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7FEFB94E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2AA4D85A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10CC7A5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253BB5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146CD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44679A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3EB4A59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341BA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B9A756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F9740B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89AAB30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0A609E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CD6EF55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CA878D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6313B0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B192A2A" w14:textId="77777777" w:rsidR="004578C4" w:rsidRDefault="004578C4" w:rsidP="00D26ED8">
      <w:pPr>
        <w:rPr>
          <w:rFonts w:asciiTheme="minorHAnsi" w:hAnsiTheme="minorHAnsi" w:cstheme="minorHAnsi"/>
          <w:sz w:val="22"/>
          <w:szCs w:val="22"/>
          <w:lang w:val="ro-RO"/>
        </w:rPr>
        <w:sectPr w:rsidR="004578C4" w:rsidSect="00E6592E">
          <w:headerReference w:type="default" r:id="rId8"/>
          <w:footerReference w:type="default" r:id="rId9"/>
          <w:pgSz w:w="11907" w:h="16840" w:code="9"/>
          <w:pgMar w:top="1134" w:right="1134" w:bottom="1134" w:left="851" w:header="284" w:footer="709" w:gutter="0"/>
          <w:cols w:space="708"/>
        </w:sectPr>
      </w:pPr>
    </w:p>
    <w:p w14:paraId="5F734228" w14:textId="77777777" w:rsidR="004578C4" w:rsidRDefault="004578C4" w:rsidP="004578C4">
      <w:pPr>
        <w:pageBreakBefore/>
        <w:tabs>
          <w:tab w:val="left" w:pos="1620"/>
        </w:tabs>
        <w:ind w:left="1077" w:hanging="107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II.4 </w:t>
      </w:r>
    </w:p>
    <w:p w14:paraId="63BDDB82" w14:textId="77777777" w:rsidR="004578C4" w:rsidRDefault="004578C4" w:rsidP="004578C4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14:paraId="059B0869" w14:textId="77777777" w:rsidR="004578C4" w:rsidRPr="00C36801" w:rsidRDefault="004578C4" w:rsidP="004578C4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14:paraId="279E5320" w14:textId="77777777" w:rsidR="004578C4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FE7C831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F7EA45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36E35D9E" w14:textId="77777777" w:rsidR="004578C4" w:rsidRPr="007E7EB0" w:rsidRDefault="004578C4" w:rsidP="004578C4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B8B3650" w14:textId="77777777" w:rsidR="004578C4" w:rsidRPr="00AD70CD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  <w:bookmarkStart w:id="9" w:name="_GoBack"/>
    </w:p>
    <w:bookmarkEnd w:id="9"/>
    <w:p w14:paraId="36AF7294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3CB779A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2FB80EA3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31645D4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48819BD9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F44B8C3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7A70DE03" w14:textId="77777777" w:rsidR="004578C4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7021CBD" w14:textId="77777777" w:rsidR="004578C4" w:rsidRPr="007E7EB0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7155E0C" w14:textId="77777777" w:rsidR="004578C4" w:rsidRDefault="004578C4" w:rsidP="004578C4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59C5AE9A" w14:textId="77777777" w:rsidR="004578C4" w:rsidRPr="003E76F0" w:rsidRDefault="004578C4" w:rsidP="004578C4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0FC82549" w14:textId="77777777" w:rsidR="004578C4" w:rsidRPr="003E76F0" w:rsidRDefault="004578C4" w:rsidP="004578C4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0C4B251C" w14:textId="77777777" w:rsidR="004578C4" w:rsidRPr="00C36801" w:rsidRDefault="004578C4" w:rsidP="004578C4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39DB5081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AC3A95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350382D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787EC36" w14:textId="77777777" w:rsidR="004578C4" w:rsidRPr="00C36801" w:rsidRDefault="004578C4" w:rsidP="004578C4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9B18035" w14:textId="202A1FF8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7EC0" w14:textId="77777777" w:rsidR="00B7624B" w:rsidRPr="00280C0F" w:rsidRDefault="00B7624B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69A4734E" w14:textId="77777777" w:rsidR="00B7624B" w:rsidRPr="00280C0F" w:rsidRDefault="00B7624B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0FEC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605C4D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37FB" w14:textId="77777777" w:rsidR="00B7624B" w:rsidRPr="00280C0F" w:rsidRDefault="00B7624B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2DB30F1E" w14:textId="77777777" w:rsidR="00B7624B" w:rsidRPr="00280C0F" w:rsidRDefault="00B7624B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5B0BD78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08616A81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4524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3BF34115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7E1495A5" w14:textId="28675C03" w:rsidR="006F0645" w:rsidRPr="00685403" w:rsidRDefault="006F0645" w:rsidP="00394614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6F3B36">
      <w:rPr>
        <w:rFonts w:ascii="Trebuchet MS" w:hAnsi="Trebuchet MS" w:cs="Arial"/>
        <w:i/>
        <w:color w:val="1F497D"/>
        <w:sz w:val="18"/>
        <w:szCs w:val="18"/>
        <w:lang w:val="ro-RO"/>
      </w:rPr>
      <w:t>661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6F3B36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6F3B36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regiunile mai puțin dezvoltate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394614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document în consultare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394614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394614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14:paraId="76BDE508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6E085B1D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2F11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06E0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6C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614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8C4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2051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5F84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C4D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3B36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FC2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6C8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DA3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1B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2C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0E7"/>
    <w:rsid w:val="00B733A2"/>
    <w:rsid w:val="00B73BCC"/>
    <w:rsid w:val="00B73EE3"/>
    <w:rsid w:val="00B74416"/>
    <w:rsid w:val="00B76109"/>
    <w:rsid w:val="00B7624B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35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871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4F7F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59D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2477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348F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592E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5F4D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D15D6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C742-030E-45B2-B291-5B1D701D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12680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3</cp:revision>
  <cp:lastPrinted>2017-05-22T12:47:00Z</cp:lastPrinted>
  <dcterms:created xsi:type="dcterms:W3CDTF">2019-09-10T14:18:00Z</dcterms:created>
  <dcterms:modified xsi:type="dcterms:W3CDTF">2019-09-16T12:37:00Z</dcterms:modified>
</cp:coreProperties>
</file>