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19" w:rsidRPr="00F736AB" w:rsidRDefault="00A31719" w:rsidP="006B6308">
      <w:pPr>
        <w:pStyle w:val="Subtitle"/>
        <w:jc w:val="center"/>
        <w:rPr>
          <w:rFonts w:ascii="Times New Roman" w:hAnsi="Times New Roman"/>
          <w:b/>
          <w:i w:val="0"/>
          <w:color w:val="0070C0"/>
          <w:sz w:val="32"/>
          <w:szCs w:val="32"/>
          <w:lang w:val="ro-RO"/>
        </w:rPr>
      </w:pPr>
      <w:r w:rsidRPr="00F736AB">
        <w:rPr>
          <w:rFonts w:ascii="Times New Roman" w:hAnsi="Times New Roman"/>
          <w:b/>
          <w:i w:val="0"/>
          <w:color w:val="0070C0"/>
          <w:sz w:val="32"/>
          <w:szCs w:val="32"/>
          <w:lang w:val="ro-RO"/>
        </w:rPr>
        <w:t>RAPORT ANUAL DE IMPLEMENTARE 201</w:t>
      </w:r>
      <w:r w:rsidR="003E19C7">
        <w:rPr>
          <w:rFonts w:ascii="Times New Roman" w:hAnsi="Times New Roman"/>
          <w:b/>
          <w:i w:val="0"/>
          <w:color w:val="0070C0"/>
          <w:sz w:val="32"/>
          <w:szCs w:val="32"/>
          <w:lang w:val="ro-RO"/>
        </w:rPr>
        <w:t>9</w:t>
      </w:r>
    </w:p>
    <w:p w:rsidR="00C5351E" w:rsidRPr="00F736AB" w:rsidRDefault="00C5351E" w:rsidP="006B6308">
      <w:pPr>
        <w:pStyle w:val="Subtitle"/>
        <w:jc w:val="center"/>
        <w:rPr>
          <w:rFonts w:ascii="Times New Roman" w:hAnsi="Times New Roman"/>
          <w:b/>
          <w:color w:val="0070C0"/>
          <w:sz w:val="32"/>
          <w:szCs w:val="32"/>
          <w:lang w:val="ro-RO"/>
        </w:rPr>
      </w:pPr>
      <w:r w:rsidRPr="00F736AB">
        <w:rPr>
          <w:rFonts w:ascii="Times New Roman" w:hAnsi="Times New Roman"/>
          <w:b/>
          <w:i w:val="0"/>
          <w:color w:val="0070C0"/>
          <w:sz w:val="32"/>
          <w:szCs w:val="32"/>
          <w:lang w:val="ro-RO"/>
        </w:rPr>
        <w:t xml:space="preserve">REZUMAT </w:t>
      </w:r>
      <w:r w:rsidR="00A31719" w:rsidRPr="00F736AB">
        <w:rPr>
          <w:rFonts w:ascii="Times New Roman" w:hAnsi="Times New Roman"/>
          <w:b/>
          <w:i w:val="0"/>
          <w:color w:val="0070C0"/>
          <w:sz w:val="32"/>
          <w:szCs w:val="32"/>
          <w:lang w:val="ro-RO"/>
        </w:rPr>
        <w:t>PENTRU CETĂȚENI</w:t>
      </w:r>
    </w:p>
    <w:p w:rsidR="006B6308" w:rsidRPr="00F736AB" w:rsidRDefault="006B6308" w:rsidP="006B6308">
      <w:pPr>
        <w:pStyle w:val="Subtitle"/>
        <w:rPr>
          <w:rFonts w:ascii="Times New Roman" w:hAnsi="Times New Roman"/>
          <w:b/>
          <w:color w:val="0070C0"/>
          <w:lang w:val="ro-RO"/>
        </w:rPr>
      </w:pPr>
    </w:p>
    <w:p w:rsidR="006104EE" w:rsidRPr="00F736AB" w:rsidRDefault="006B6308" w:rsidP="006B6308">
      <w:pPr>
        <w:pStyle w:val="Subtitle"/>
        <w:rPr>
          <w:rFonts w:ascii="Times New Roman" w:hAnsi="Times New Roman"/>
          <w:color w:val="17365D"/>
          <w:lang w:val="ro-RO"/>
        </w:rPr>
      </w:pPr>
      <w:r w:rsidRPr="00F736AB">
        <w:rPr>
          <w:rFonts w:ascii="Times New Roman" w:hAnsi="Times New Roman"/>
          <w:b/>
          <w:color w:val="0070C0"/>
          <w:lang w:val="ro-RO"/>
        </w:rPr>
        <w:t>Context</w:t>
      </w:r>
      <w:r w:rsidRPr="00F736AB">
        <w:rPr>
          <w:rFonts w:ascii="Times New Roman" w:hAnsi="Times New Roman"/>
          <w:b/>
          <w:color w:val="17365D"/>
          <w:lang w:val="ro-RO"/>
        </w:rPr>
        <w:t xml:space="preserve"> </w:t>
      </w:r>
      <w:r w:rsidRPr="00F736AB">
        <w:rPr>
          <w:rFonts w:ascii="Times New Roman" w:hAnsi="Times New Roman"/>
          <w:b/>
          <w:color w:val="0070C0"/>
          <w:lang w:val="ro-RO"/>
        </w:rPr>
        <w:t>general</w:t>
      </w:r>
    </w:p>
    <w:p w:rsidR="00C5351E" w:rsidRPr="00F736AB" w:rsidRDefault="00C5351E" w:rsidP="00C5351E">
      <w:pPr>
        <w:shd w:val="clear" w:color="auto" w:fill="FFFFFF"/>
        <w:spacing w:before="100" w:beforeAutospacing="1" w:after="100" w:afterAutospacing="1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Programul Operațional Capacitate Administrativă 2014 – 2020 (POCA) a fost aprobat 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de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="005E58E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Comisi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="005E58E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Europe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="005E58E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n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ă</w:t>
      </w:r>
      <w:r w:rsidR="002003D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(CE)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în 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data de 25.02.2015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5E58E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modificat </w:t>
      </w:r>
      <w:r w:rsidR="0009420A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în </w:t>
      </w:r>
      <w:r w:rsidR="005E58E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data de 29.03.2017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(versiunea 2.1) și în 10.08.2020 (versiunea 3.1)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.</w:t>
      </w:r>
    </w:p>
    <w:p w:rsidR="0028662D" w:rsidRPr="00F736AB" w:rsidRDefault="00476735" w:rsidP="00093C27">
      <w:pPr>
        <w:shd w:val="clear" w:color="auto" w:fill="FFFFFF"/>
        <w:spacing w:before="100" w:beforeAutospacing="1" w:after="100" w:afterAutospacing="1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Suma alocată pentru program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(versiunea 3.1)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este de 5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6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3,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58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mil. euro </w:t>
      </w:r>
      <w:r w:rsidR="007D31B6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din 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F</w:t>
      </w:r>
      <w:r w:rsidR="007D31B6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ondul 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</w:t>
      </w:r>
      <w:r w:rsidR="007D31B6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ocial 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E</w:t>
      </w:r>
      <w:r w:rsidR="007D31B6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uropean (FSE)</w:t>
      </w:r>
      <w:r w:rsidR="00A31719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 din care PO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CA finanț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ează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intervenții în cadrul a 3 axe prioritare</w:t>
      </w:r>
      <w:r w:rsidR="00093C27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. Detalii despre program regăsiți la adresa: </w:t>
      </w:r>
      <w:hyperlink r:id="rId8" w:history="1">
        <w:r w:rsidR="00093C27"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http://poca.ro/cadru-strategic/prezentare-poca-2014-2020/</w:t>
        </w:r>
      </w:hyperlink>
      <w:r w:rsidR="00093C27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p w:rsidR="00CA5F5B" w:rsidRPr="00F736AB" w:rsidRDefault="00CA5F5B" w:rsidP="00093C27">
      <w:pPr>
        <w:shd w:val="clear" w:color="auto" w:fill="FFFFFF"/>
        <w:spacing w:before="100" w:beforeAutospacing="1" w:after="100" w:afterAutospacing="1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Programul sprijină în principal măsuri din </w:t>
      </w:r>
      <w:hyperlink r:id="rId9" w:history="1"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pentru Consolidarea Administrației publice 2014-2020</w:t>
        </w:r>
      </w:hyperlink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. Dar în anumite domenii specifice, precum sistem judiciar sau măsuri anticorupție alte strategii orientează finanțare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din program, respectiv </w:t>
      </w:r>
      <w:hyperlink r:id="rId10" w:history="1"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de Dezvoltare a Sistemului Judiciar 2014-2020</w:t>
        </w:r>
      </w:hyperlink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și </w:t>
      </w:r>
      <w:hyperlink r:id="rId11" w:history="1"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Națională Anticorupție 2015-2020</w:t>
        </w:r>
      </w:hyperlink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. În ceea ce privește măsurile de simplificare a procedurilor administrative aplicabile cetățenilor 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prioritățile sunt stabilite în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hyperlink r:id="rId12" w:history="1"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Plan</w:t>
        </w:r>
        <w:r w:rsidR="008B6A42"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ul</w:t>
        </w:r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 xml:space="preserve"> integrat de simplificare</w:t>
        </w:r>
      </w:hyperlink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iar acțiunile de simplificare pentru mediul de afaceri în </w:t>
      </w:r>
      <w:hyperlink r:id="rId13" w:history="1">
        <w:r w:rsidR="00B93250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privind Mai B</w:t>
        </w:r>
        <w:r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una Reglementare 2014-2020</w:t>
        </w:r>
      </w:hyperlink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. Programul, de asemenea, sprijină instituțiile publice să realiz</w:t>
      </w:r>
      <w:r w:rsidR="00BE098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eze anumite activități mai bine, de exemplu achizițiile publice, recrutarea și evaluare</w:t>
      </w:r>
      <w:r w:rsidR="002003D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="00BE098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personalului, fundamentarea deciziilor. Și aceste activități se realizează în contextul unor 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alte </w:t>
      </w:r>
      <w:r w:rsidR="00BE098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strategii: </w:t>
      </w:r>
      <w:hyperlink r:id="rId14" w:history="1">
        <w:r w:rsidR="00BE098E"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națională în domeniul achizițiilor publice</w:t>
        </w:r>
      </w:hyperlink>
      <w:r w:rsidR="00BE098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și </w:t>
      </w:r>
      <w:hyperlink r:id="rId15" w:history="1">
        <w:r w:rsidR="00BE098E"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Strategia pentru dezvoltarea funcției publice</w:t>
        </w:r>
      </w:hyperlink>
      <w:r w:rsidR="00BE098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. 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p w:rsidR="00276779" w:rsidRPr="00F736AB" w:rsidRDefault="00276779" w:rsidP="007145EB">
      <w:pPr>
        <w:shd w:val="clear" w:color="auto" w:fill="FFFFFF"/>
        <w:spacing w:before="100" w:beforeAutospacing="1" w:after="100" w:afterAutospacing="1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În plus, în prima sa etapă, POCA a sprijinit 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și 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instituțiile publice care trebuiau să realizeze 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anumite măsuri </w:t>
      </w:r>
      <w:r w:rsidR="00054AF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astfel încât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fondurile europene în România, pentru anumite domenii (de ex. situații de urgență, evaluare impactului asupra mediului, planul de investiții pentru cercetare)</w:t>
      </w:r>
      <w:r w:rsidR="00054AF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8B6A42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să poată fi folosite cât mai repede.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p w:rsidR="006B6308" w:rsidRPr="00F736AB" w:rsidRDefault="00A31719" w:rsidP="0028662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b/>
          <w:i/>
          <w:color w:val="0070C0"/>
          <w:sz w:val="24"/>
          <w:szCs w:val="24"/>
          <w:lang w:val="ro-RO"/>
        </w:rPr>
      </w:pPr>
      <w:r w:rsidRPr="00F736AB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RO"/>
        </w:rPr>
        <w:t>Despre i</w:t>
      </w:r>
      <w:r w:rsidR="006B6308" w:rsidRPr="00F736AB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RO"/>
        </w:rPr>
        <w:t>mplementarea programului în 201</w:t>
      </w:r>
      <w:r w:rsidR="003E19C7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RO"/>
        </w:rPr>
        <w:t>9</w:t>
      </w:r>
    </w:p>
    <w:p w:rsidR="007D31B6" w:rsidRPr="00F736AB" w:rsidRDefault="007D31B6" w:rsidP="007D31B6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La 31 decembrie 201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performanța programului, în termeni de apeluri lansate este una bună, mai mult de </w:t>
      </w:r>
      <w:r w:rsidR="000402B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1</w:t>
      </w:r>
      <w:r w:rsidR="003E19C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95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% din alocarea programului a fost deja inclusă în cele </w:t>
      </w:r>
      <w:r w:rsidR="000402B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3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8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apeluri deschise de AM POCA (inclusiv asistența tehnică).</w:t>
      </w:r>
      <w:r w:rsidR="00B91F9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În ceea ce privește valoarea contractelor semnate aceasta se ridică la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607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78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mil. euro, iar cea a plăților către beneficiari la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153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21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 euro, iar sumele rambursate de C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omisia 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E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uropeană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sunt în valoare de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93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44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mil. euro, reprezentând un grad de absorbție al fondurilor UE de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16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0402B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8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%.</w:t>
      </w: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În anul 201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implementarea programului a continuat într-un ritm susținut. Au fost lansate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7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cereri de proiecte, în valoare estimată de 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281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92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mil. euro, care au vizat:</w:t>
      </w:r>
    </w:p>
    <w:p w:rsidR="000E2225" w:rsidRPr="000E2225" w:rsidRDefault="000E2225" w:rsidP="000E2225">
      <w:pPr>
        <w:pStyle w:val="ListParagraph"/>
        <w:numPr>
          <w:ilvl w:val="0"/>
          <w:numId w:val="26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consolidarea cooperării dintre autoritățile administrației publice centrale și  structurile asociative ale autorităților administrației publice locale pentru implementarea de acțiuni de reformă la nivelul ambelor paliere administrative (IP13).</w:t>
      </w:r>
    </w:p>
    <w:p w:rsidR="000E2225" w:rsidRPr="000E2225" w:rsidRDefault="000E2225" w:rsidP="000E2225">
      <w:pPr>
        <w:pStyle w:val="ListParagraph"/>
        <w:numPr>
          <w:ilvl w:val="0"/>
          <w:numId w:val="26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sprijinirea autorităților și instituțiilor publice centrale pentru implementarea de acțiuni care conduc la o planificare strategică eficientă, implementarea unitară a managementului calității și performanței, implementarea unor măsuri de simplificare pentru cetățeni, de sistematizare și simplificare a fondului activ al legislației, de reducere a poverii administrative pentru mediul de </w:t>
      </w: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lastRenderedPageBreak/>
        <w:t>afaceri, de creare a cadrului pentru dezvoltarea la nivel local, de elaborare de politici publice bazate pe dovezi (IP14 și IP17),</w:t>
      </w:r>
    </w:p>
    <w:p w:rsidR="000E2225" w:rsidRPr="000E2225" w:rsidRDefault="000E2225" w:rsidP="000E2225">
      <w:pPr>
        <w:pStyle w:val="ListParagraph"/>
        <w:numPr>
          <w:ilvl w:val="0"/>
          <w:numId w:val="26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susținerea autorităților și instituțiilor publice centrale cu competențe în domeniu de a dezvolta și aplica politici și instrumente unitare și moderne de resurse umane care să asigure un management unitar și coerent al acestora (IP15)</w:t>
      </w:r>
    </w:p>
    <w:p w:rsidR="000E2225" w:rsidRPr="000E2225" w:rsidRDefault="000E2225" w:rsidP="000E2225">
      <w:pPr>
        <w:pStyle w:val="ListParagraph"/>
        <w:numPr>
          <w:ilvl w:val="0"/>
          <w:numId w:val="26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sprijinirea Oficiului Național pentru Achiziții Publice în vederea consolidării sistemului de achiziții publice centralizate și implementarea prevederilor Legii nr. 98/2016 privind achizițiile publice, cu modificările și completările ulterioare, a normelor sale de aplicare și a altor acte normative în vigoare pentru acest domeniu (IP16),</w:t>
      </w:r>
    </w:p>
    <w:p w:rsidR="000E2225" w:rsidRPr="000E2225" w:rsidRDefault="000E2225" w:rsidP="000E2225">
      <w:pPr>
        <w:pStyle w:val="ListParagraph"/>
        <w:numPr>
          <w:ilvl w:val="0"/>
          <w:numId w:val="26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222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procesul decizional la nivelul autorităților administrației publice locale, măsuri de simplificare pentru cetățeni și introducerea managementului calității (CP13).</w:t>
      </w:r>
    </w:p>
    <w:p w:rsidR="000402BC" w:rsidRDefault="000402BC" w:rsidP="00AF5EF0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AF5EF0" w:rsidRPr="00AF5EF0" w:rsidRDefault="00AF5EF0" w:rsidP="00AF5EF0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AF5EF0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Detalii privind liniile de finanțare din program sunt disponibile la adresa: </w:t>
      </w:r>
      <w:hyperlink r:id="rId16" w:history="1">
        <w:r w:rsidRPr="00AF5EF0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http://poca.ro/solicitare-finantare/</w:t>
        </w:r>
      </w:hyperlink>
      <w:r w:rsidRPr="00AF5EF0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p w:rsidR="00AF5EF0" w:rsidRDefault="00AF5EF0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În ceea ce privește proiectele pentru care a fost acordată finanțare în cursul anului 201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9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acestea sunt în număr de 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157 (</w:t>
      </w:r>
      <w:r w:rsidR="00C11D8E" w:rsidRP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în trimestrul 1 s-au contractat 28 proiecte, în trimestrul  2 s-au contractat 43 proiecte, în trimestrul 3 s-au contractat 57 proiecte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C11D8E" w:rsidRP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iar în trimestrul 4 s-au contractat  29 proiecte)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. 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Plățile efectuate pentru beneficiari în acest an au fost de 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60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</w:t>
      </w:r>
      <w:r w:rsidR="00C11D8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79</w:t>
      </w: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mil euro.</w:t>
      </w: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C699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În anul de raportare, AM POCA a aprobat proiecte care sprijină următoarele domenii de reformă:</w:t>
      </w:r>
    </w:p>
    <w:p w:rsidR="001C699C" w:rsidRPr="001C699C" w:rsidRDefault="001C699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D31363" w:rsidRPr="00D31363" w:rsidRDefault="00D31363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val="ro-RO" w:eastAsia="en-GB"/>
        </w:rPr>
      </w:pPr>
      <w:r w:rsidRPr="00D31363">
        <w:rPr>
          <w:rFonts w:ascii="Times New Roman" w:eastAsia="Times New Roman" w:hAnsi="Times New Roman"/>
          <w:bCs/>
          <w:color w:val="17365D" w:themeColor="text2" w:themeShade="BF"/>
          <w:sz w:val="24"/>
          <w:szCs w:val="24"/>
          <w:lang w:val="ro-RO" w:eastAsia="en-GB"/>
        </w:rPr>
        <w:t xml:space="preserve">Consolidarea mecanismului de </w:t>
      </w:r>
      <w:r w:rsidRPr="00D3136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ro-RO" w:eastAsia="en-GB"/>
        </w:rPr>
        <w:t>coordonare a implementării Convenției ONU privind drepturile persoanelor cu dizabilități</w:t>
      </w:r>
      <w:r w:rsidR="001B42CC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ro-RO" w:eastAsia="en-GB"/>
        </w:rPr>
        <w:t>;</w:t>
      </w:r>
    </w:p>
    <w:p w:rsidR="00D31363" w:rsidRDefault="00D31363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tabilirea </w:t>
      </w:r>
      <w:r w:rsidRPr="00D31363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cadrului de referință în domeniul dezvoltării rețelei de bandă largă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n Rom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â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nia</w:t>
      </w:r>
      <w:r w:rsidR="001B42C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D31363" w:rsidRDefault="00D31363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Creșterea capacit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ă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ții administrative a Ministerului Economiei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î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n vederea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monitorizării, evaluării și coordonării politicilor publice din domeniul competitivității economice</w:t>
      </w:r>
      <w:r w:rsidR="001B42C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D31363" w:rsidRDefault="00D31363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Cadru strategic național de politic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ă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pentru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incluziunea socială și egalitatea de șanse post 2020</w:t>
      </w:r>
      <w:r w:rsidR="001B42C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D31363" w:rsidRDefault="00D31363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Strategi</w:t>
      </w:r>
      <w:r w:rsidR="001B42CC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a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 națională de renovare</w:t>
      </w:r>
      <w:r w:rsidRPr="00D31363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pe termen lung pentru sprijinirea renovării parcului național de clădiri rezidențiale și nerezidențiale</w:t>
      </w:r>
      <w:r w:rsidR="001B42C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1B42CC" w:rsidRDefault="001B42CC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E14F9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Evaluarea sistemului de achiziții din România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și sprijinirea a </w:t>
      </w:r>
      <w:r w:rsidRPr="000E14F9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160 de autorități contractante în eficientizarea procesului lor de achiziții publice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1B42CC" w:rsidRDefault="000E14F9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Elaborarea </w:t>
      </w:r>
      <w:r w:rsidRPr="000C7B2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Ghidului specializărilor expertizei tehnice judiciare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0E14F9" w:rsidRDefault="000C7B21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Sprijin pentru 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Autoritatea Națională pentru Protecți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Drepturilor Copilului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ș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i Adopție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pentru elaborarea unei 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politic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i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public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e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privind îmbunătățirea și diversificarea </w:t>
      </w:r>
      <w:r w:rsidRPr="000C7B2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serviciilor alternative la îngrijirea în instituții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pentru elaborarea unui 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ghid practic de </w:t>
      </w:r>
      <w:r w:rsidRPr="000C7B2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modele alternative de dezvoltare a activității de prevenire a separării copilului de familie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și o politică publică privind 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îmbunătățirea și diversificarea </w:t>
      </w:r>
      <w:r w:rsidRPr="000C7B2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serviciilor destinate prevenirii separării copilului de familie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0C7B21" w:rsidRDefault="000C7B21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Persoane cu dizabilități - </w:t>
      </w:r>
      <w:r w:rsidRPr="009F6C06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tranziția de la servicii rezidențiale la servicii în comunitate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B8348B" w:rsidRDefault="00B8348B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B8348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Modernizarea sistemului de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evaluare a dizabilității</w:t>
      </w:r>
      <w:r w:rsidRPr="00B8348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din Romania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0C7B21" w:rsidRDefault="000C7B21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585FA7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Fundamentarea politicii de investiții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pentru dezvoltarea </w:t>
      </w:r>
      <w:proofErr w:type="spellStart"/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socio</w:t>
      </w:r>
      <w:proofErr w:type="spellEnd"/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-economic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ă</w:t>
      </w:r>
      <w:r w:rsidRPr="000C7B21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Pr="00585FA7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în perioada 2021-2030</w:t>
      </w:r>
      <w:r w:rsidR="0092580D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  <w:bookmarkStart w:id="0" w:name="_GoBack"/>
      <w:bookmarkEnd w:id="0"/>
    </w:p>
    <w:p w:rsidR="0092580D" w:rsidRDefault="00A63C6D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M</w:t>
      </w:r>
      <w:r w:rsidR="00585FA7" w:rsidRPr="00585FA7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odernizarea </w:t>
      </w:r>
      <w:r w:rsidR="00585FA7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proceselor de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producție</w:t>
      </w:r>
      <w:r w:rsidR="00585FA7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 statistica pentru efectuarea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recensămintelor</w:t>
      </w:r>
      <w:r w:rsidR="00585FA7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naționale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A63C6D" w:rsidRDefault="003B77FC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Elaborarea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Strategi</w:t>
      </w:r>
      <w:r w:rsidR="00386A1E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ei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 Național</w:t>
      </w:r>
      <w:r w:rsidR="00386A1E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e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 de Vaccinare</w:t>
      </w:r>
      <w:r w:rsidRPr="003B77F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 inclusiv planul de acțiuni aferent acesteia</w:t>
      </w:r>
      <w:r w:rsidR="00386A1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campanie de conștientizare asupra importanței </w:t>
      </w:r>
      <w:r w:rsidR="00386A1E" w:rsidRPr="00386A1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vaccinării și imunizării</w:t>
      </w:r>
      <w:r w:rsidR="00386A1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386A1E" w:rsidRPr="002B16BE" w:rsidRDefault="00E02188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</w:pP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Simplificarea </w:t>
      </w:r>
      <w:r w:rsidR="00370719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procedurilor de autorizare si control a operatorilor economici din turism</w:t>
      </w:r>
      <w:r w:rsid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;</w:t>
      </w:r>
    </w:p>
    <w:p w:rsidR="00370719" w:rsidRDefault="00373CCE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lastRenderedPageBreak/>
        <w:t>Analiza programelor de investiții</w:t>
      </w: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gestionate de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Ministerul Lucrărilor Publice, Dezvoltării și Administrației;</w:t>
      </w:r>
    </w:p>
    <w:p w:rsidR="00373CCE" w:rsidRDefault="00373CCE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Asigura</w:t>
      </w:r>
      <w:r w:rsid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rea</w:t>
      </w: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accesului online la serviciile publice de avizare/autorizare gestionate de M</w:t>
      </w:r>
      <w:r w:rsidR="007E7492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 xml:space="preserve">inisterul </w:t>
      </w: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S</w:t>
      </w:r>
      <w:r w:rsidR="007E7492"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ănătății</w:t>
      </w: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/</w:t>
      </w:r>
      <w:r w:rsid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Direcțiile de </w:t>
      </w: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S</w:t>
      </w:r>
      <w:r w:rsid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ănătate </w:t>
      </w:r>
      <w:r w:rsidRPr="00373CCE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P</w:t>
      </w:r>
      <w:r w:rsid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ublică</w:t>
      </w:r>
      <w:r w:rsidR="00C8491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7E7492" w:rsidRDefault="007E7492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2B16B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ro-RO" w:eastAsia="en-GB"/>
        </w:rPr>
        <w:t>Evaluarea nevoilor persoanelor fără adăpost</w:t>
      </w:r>
      <w:r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ș</w:t>
      </w:r>
      <w:r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i a impactului serviciilor sociale existente asupra </w:t>
      </w:r>
      <w:r w:rsidR="0012307D"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calității</w:t>
      </w:r>
      <w:r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="0012307D"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vieții</w:t>
      </w:r>
      <w:r w:rsidRPr="007E749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acestora</w:t>
      </w:r>
      <w:r w:rsidR="00C8491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;</w:t>
      </w:r>
    </w:p>
    <w:p w:rsidR="0012307D" w:rsidRDefault="0012307D" w:rsidP="00B91F95">
      <w:pPr>
        <w:pStyle w:val="ListParagraph"/>
        <w:numPr>
          <w:ilvl w:val="0"/>
          <w:numId w:val="24"/>
        </w:num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12307D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Dezvoltarea unor mecanisme electronice integrate pentru desfășurarea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ș</w:t>
      </w:r>
      <w:r w:rsidRPr="0012307D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i monitorizarea achizițiilor centralizate</w:t>
      </w:r>
      <w:r w:rsidR="00C84915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.</w:t>
      </w:r>
    </w:p>
    <w:p w:rsidR="00D31363" w:rsidRDefault="00B8348B" w:rsidP="00D31363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Lista de mai sus nu este completă. Detalii privind obiectivele celor 157 de proiecte semnate în anul 2019 se găsesc în lista beneficiarilor, publicată pe site-ul oficial al programului: </w:t>
      </w:r>
      <w:hyperlink r:id="rId17" w:history="1">
        <w:r w:rsidRPr="00146EB3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http://www.poca.ro/monitorizare-program/lista-operatiunilor-selectate-si-finantate/</w:t>
        </w:r>
      </w:hyperlink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. Această listă este actualizată periodic. </w:t>
      </w:r>
    </w:p>
    <w:p w:rsidR="00986E8B" w:rsidRDefault="00986E8B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1C699C" w:rsidRDefault="00BF306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La sfârșitul anului 2019, gradul de îndeplinire a indicatorilor de realizare specifici de program era de 42%, iar al celor de rezultat specifici de program era de 12%. Prin proiectele aflate în implementare, precum si cele care sunt în proces de evaluare sau contractare, se așteaptă un grad de atingere al indicatorilor de peste 80%</w:t>
      </w:r>
    </w:p>
    <w:p w:rsidR="00BF306C" w:rsidRPr="001C699C" w:rsidRDefault="00BF306C" w:rsidP="001C699C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BF306C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La finalul anului 2019 valoare contractelor încheiate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în cadrul axei prioritare 1, 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reprezintă 120% din alocarea totală a axei. Sumele rambursate de AM către beneficiari reprezintă 100,99 mil. euro, iar absorbția efectivă este de 30,99% din valoarea fondurile FSE. Ca urmare a analizei cadrului de performanță, această axă prioritară a primit rezerva de performanță aferentă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axei prioritare 2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și rezerva de performan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ț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ă aferentă regiunii mai dezvoltate a axelor AP2-AP6 din P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rogramul 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O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perațional 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C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apital 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U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man (gestionat de Ministerul Fondurilor Europene)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. Astfel, alocarea FSE a acestei axe crește cu 21,65 mil. euro, iar contribuția națională cu 4,74 mil. euro. În aceste condiții, această axă prioritară are o alocare de 61,75% din program. Indicatorii aferenți acestei axe sunt atinși în proporție de 31,57% (indicatorii cu un grad de realizare de peste 85%).</w:t>
      </w:r>
    </w:p>
    <w:p w:rsidR="00BF306C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8771FA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A fost contractată 48% din valoarea totală alocată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axei prioritare 2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, la finalul anului 2019. Sumele rambursate către beneficiari de AM reprezintă 17,25 mil. euro din alocarea FSE, iar absorbția efectivă este de 9,19%. Rezerva de performanță a acestei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axe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a fost realocată 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axei prioritare 1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, prin urmare valoarea totală a acestei</w:t>
      </w:r>
      <w:r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a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a scăzut la 176,43 mil. euro. Indicatorii de realizare sunt atinși în proporție de 25% (adică au un grad de realizare de peste 85%).</w:t>
      </w:r>
    </w:p>
    <w:p w:rsidR="00BF306C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8771FA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La nivelul axe</w:t>
      </w:r>
      <w:r w:rsidR="00F2482A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>i prioritare 3</w:t>
      </w:r>
      <w:r w:rsidRPr="00BF306C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au fost realizate plăți în valoare de10,27 mil. euro reprezentând o absorbție efectivă de 26% din alocarea financiară. A fost realizată prima măsurătoare a gradului de satisfacție al beneficiarilor și a gradului de conștientizare a programului în rândul potențialilor beneficiari. Studiile au evidențiat părerea beneficiarilor că echipa AM POCA dă dovadă de implicare și profesionalism, de atitudine pro-activă în rezolvarea problemelor beneficiarilor. Gradul de satisfacție al beneficiarilor este de 95%, ținta stabilită la nivel de program pentru anul 2023 fiind depășită. În ceea ce privește gradul de conștientizare a potențialilor beneficiari, acesta este de 58%, față de ținta stabilită pentru 2023 de 60%.</w:t>
      </w:r>
    </w:p>
    <w:p w:rsidR="00BF306C" w:rsidRDefault="00BF306C" w:rsidP="004B23BD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</w:p>
    <w:p w:rsidR="00CA5F5B" w:rsidRPr="00F736AB" w:rsidRDefault="008B6A42" w:rsidP="007D31B6">
      <w:pPr>
        <w:shd w:val="clear" w:color="auto" w:fill="FFFFFF"/>
        <w:spacing w:after="0" w:line="207" w:lineRule="atLeast"/>
        <w:jc w:val="both"/>
        <w:textAlignment w:val="bottom"/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</w:pP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Raportul anual de implementare detaliază progresul înregistrat în implementarea programului și este disponibil la </w:t>
      </w:r>
      <w:hyperlink r:id="rId18" w:history="1">
        <w:r w:rsidR="00E60ADE" w:rsidRPr="00F736AB">
          <w:rPr>
            <w:rStyle w:val="Hyperlink"/>
            <w:rFonts w:ascii="Times New Roman" w:eastAsia="Times New Roman" w:hAnsi="Times New Roman"/>
            <w:sz w:val="24"/>
            <w:szCs w:val="24"/>
            <w:lang w:val="ro-RO" w:eastAsia="en-GB"/>
          </w:rPr>
          <w:t>http://poca.ro/monitorizare-program/raport-anual-de-implementare/</w:t>
        </w:r>
      </w:hyperlink>
      <w:r w:rsidR="00F736AB" w:rsidRPr="00F736AB">
        <w:rPr>
          <w:rStyle w:val="Hyperlink"/>
          <w:rFonts w:ascii="Times New Roman" w:eastAsia="Times New Roman" w:hAnsi="Times New Roman"/>
          <w:sz w:val="24"/>
          <w:szCs w:val="24"/>
          <w:lang w:val="ro-RO" w:eastAsia="en-GB"/>
        </w:rPr>
        <w:t>.</w:t>
      </w:r>
      <w:r w:rsidR="00E60ADE"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  <w:r w:rsidRPr="00F736AB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ro-RO" w:eastAsia="en-GB"/>
        </w:rPr>
        <w:t xml:space="preserve"> </w:t>
      </w:r>
    </w:p>
    <w:sectPr w:rsidR="00CA5F5B" w:rsidRPr="00F736AB" w:rsidSect="00C5351E">
      <w:headerReference w:type="default" r:id="rId19"/>
      <w:footerReference w:type="default" r:id="rId20"/>
      <w:pgSz w:w="11907" w:h="16840" w:code="9"/>
      <w:pgMar w:top="212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A1" w:rsidRDefault="00C815A1" w:rsidP="00306146">
      <w:pPr>
        <w:spacing w:after="0" w:line="240" w:lineRule="auto"/>
      </w:pPr>
      <w:r>
        <w:separator/>
      </w:r>
    </w:p>
  </w:endnote>
  <w:endnote w:type="continuationSeparator" w:id="0">
    <w:p w:rsidR="00C815A1" w:rsidRDefault="00C815A1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4A1EE4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9050" t="22225" r="15240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0E0A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" strokecolor="#039" strokeweight="2.25pt"/>
          </w:pict>
        </mc:Fallback>
      </mc:AlternateContent>
    </w:r>
  </w:p>
  <w:p w:rsidR="00306146" w:rsidRPr="008D571F" w:rsidRDefault="00306146" w:rsidP="00306146">
    <w:pPr>
      <w:pStyle w:val="Footer"/>
      <w:jc w:val="center"/>
      <w:rPr>
        <w:rFonts w:ascii="Trebuchet MS" w:hAnsi="Trebuchet MS"/>
        <w:sz w:val="13"/>
        <w:szCs w:val="13"/>
        <w:lang w:val="ro-RO"/>
      </w:rPr>
    </w:pPr>
    <w:r w:rsidRPr="008D571F">
      <w:rPr>
        <w:rFonts w:ascii="Trebuchet MS" w:hAnsi="Trebuchet MS"/>
        <w:sz w:val="13"/>
        <w:szCs w:val="13"/>
        <w:lang w:val="ro-RO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A1" w:rsidRDefault="00C815A1" w:rsidP="00306146">
      <w:pPr>
        <w:spacing w:after="0" w:line="240" w:lineRule="auto"/>
      </w:pPr>
      <w:r>
        <w:separator/>
      </w:r>
    </w:p>
  </w:footnote>
  <w:footnote w:type="continuationSeparator" w:id="0">
    <w:p w:rsidR="00C815A1" w:rsidRDefault="00C815A1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876551" w:rsidP="00525C60">
    <w:pPr>
      <w:pStyle w:val="Header"/>
      <w:jc w:val="center"/>
    </w:pPr>
    <w:r>
      <w:rPr>
        <w:noProof/>
      </w:rPr>
      <w:drawing>
        <wp:inline distT="0" distB="0" distL="0" distR="0" wp14:anchorId="34291C99" wp14:editId="283AD9F2">
          <wp:extent cx="5913132" cy="633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674"/>
    <w:multiLevelType w:val="hybridMultilevel"/>
    <w:tmpl w:val="23EED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A33"/>
    <w:multiLevelType w:val="hybridMultilevel"/>
    <w:tmpl w:val="93827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D53"/>
    <w:multiLevelType w:val="hybridMultilevel"/>
    <w:tmpl w:val="912A9B50"/>
    <w:lvl w:ilvl="0" w:tplc="7E6430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58E"/>
    <w:multiLevelType w:val="hybridMultilevel"/>
    <w:tmpl w:val="2B0CCC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EB9"/>
    <w:multiLevelType w:val="multilevel"/>
    <w:tmpl w:val="600C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44DA5"/>
    <w:multiLevelType w:val="hybridMultilevel"/>
    <w:tmpl w:val="6AD4A23E"/>
    <w:lvl w:ilvl="0" w:tplc="3F8433C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456F"/>
    <w:multiLevelType w:val="hybridMultilevel"/>
    <w:tmpl w:val="05306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7B57"/>
    <w:multiLevelType w:val="hybridMultilevel"/>
    <w:tmpl w:val="027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F4AC7"/>
    <w:multiLevelType w:val="hybridMultilevel"/>
    <w:tmpl w:val="E32EE6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A8A"/>
    <w:multiLevelType w:val="hybridMultilevel"/>
    <w:tmpl w:val="1B4A56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41CC"/>
    <w:multiLevelType w:val="hybridMultilevel"/>
    <w:tmpl w:val="C3400EA4"/>
    <w:lvl w:ilvl="0" w:tplc="9A6E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A172F"/>
    <w:multiLevelType w:val="hybridMultilevel"/>
    <w:tmpl w:val="38105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C66C5"/>
    <w:multiLevelType w:val="hybridMultilevel"/>
    <w:tmpl w:val="432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212E"/>
    <w:multiLevelType w:val="hybridMultilevel"/>
    <w:tmpl w:val="1A3C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9386C"/>
    <w:multiLevelType w:val="hybridMultilevel"/>
    <w:tmpl w:val="75E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2934"/>
    <w:multiLevelType w:val="hybridMultilevel"/>
    <w:tmpl w:val="F2E86E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2CE2"/>
    <w:multiLevelType w:val="multilevel"/>
    <w:tmpl w:val="310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102C5"/>
    <w:multiLevelType w:val="hybridMultilevel"/>
    <w:tmpl w:val="F89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D6E2E"/>
    <w:multiLevelType w:val="hybridMultilevel"/>
    <w:tmpl w:val="7A581F14"/>
    <w:lvl w:ilvl="0" w:tplc="87F08B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2875"/>
    <w:multiLevelType w:val="hybridMultilevel"/>
    <w:tmpl w:val="12629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A3116"/>
    <w:multiLevelType w:val="hybridMultilevel"/>
    <w:tmpl w:val="8C68E0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B606A"/>
    <w:multiLevelType w:val="hybridMultilevel"/>
    <w:tmpl w:val="0002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4E57"/>
    <w:multiLevelType w:val="hybridMultilevel"/>
    <w:tmpl w:val="9E8E40B4"/>
    <w:lvl w:ilvl="0" w:tplc="A2F8AEA0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871FA"/>
    <w:multiLevelType w:val="hybridMultilevel"/>
    <w:tmpl w:val="9BD8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6D31"/>
    <w:multiLevelType w:val="hybridMultilevel"/>
    <w:tmpl w:val="78AE09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95B74"/>
    <w:multiLevelType w:val="hybridMultilevel"/>
    <w:tmpl w:val="6D8629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18"/>
  </w:num>
  <w:num w:numId="6">
    <w:abstractNumId w:val="17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22"/>
  </w:num>
  <w:num w:numId="12">
    <w:abstractNumId w:val="0"/>
  </w:num>
  <w:num w:numId="13">
    <w:abstractNumId w:val="21"/>
  </w:num>
  <w:num w:numId="14">
    <w:abstractNumId w:val="23"/>
  </w:num>
  <w:num w:numId="15">
    <w:abstractNumId w:val="11"/>
  </w:num>
  <w:num w:numId="16">
    <w:abstractNumId w:val="24"/>
  </w:num>
  <w:num w:numId="17">
    <w:abstractNumId w:val="3"/>
  </w:num>
  <w:num w:numId="18">
    <w:abstractNumId w:val="1"/>
  </w:num>
  <w:num w:numId="19">
    <w:abstractNumId w:val="15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  <w:num w:numId="24">
    <w:abstractNumId w:val="7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6"/>
    <w:rsid w:val="000315EB"/>
    <w:rsid w:val="00040072"/>
    <w:rsid w:val="00040187"/>
    <w:rsid w:val="000402BC"/>
    <w:rsid w:val="00054AFE"/>
    <w:rsid w:val="000744FF"/>
    <w:rsid w:val="0007764F"/>
    <w:rsid w:val="00082755"/>
    <w:rsid w:val="00093C27"/>
    <w:rsid w:val="0009420A"/>
    <w:rsid w:val="000C7B21"/>
    <w:rsid w:val="000E14F9"/>
    <w:rsid w:val="000E2225"/>
    <w:rsid w:val="00121B56"/>
    <w:rsid w:val="0012307D"/>
    <w:rsid w:val="00123AF5"/>
    <w:rsid w:val="00141856"/>
    <w:rsid w:val="00143F7A"/>
    <w:rsid w:val="0014714B"/>
    <w:rsid w:val="00156447"/>
    <w:rsid w:val="00163157"/>
    <w:rsid w:val="00163E53"/>
    <w:rsid w:val="001A7982"/>
    <w:rsid w:val="001B32F0"/>
    <w:rsid w:val="001B42CC"/>
    <w:rsid w:val="001C699C"/>
    <w:rsid w:val="002003D7"/>
    <w:rsid w:val="00203F86"/>
    <w:rsid w:val="0021452A"/>
    <w:rsid w:val="00224E66"/>
    <w:rsid w:val="002270F1"/>
    <w:rsid w:val="002406FC"/>
    <w:rsid w:val="002451FD"/>
    <w:rsid w:val="00276779"/>
    <w:rsid w:val="0028264A"/>
    <w:rsid w:val="0028662D"/>
    <w:rsid w:val="002B16BE"/>
    <w:rsid w:val="002B23AB"/>
    <w:rsid w:val="002C2A70"/>
    <w:rsid w:val="002D0178"/>
    <w:rsid w:val="00302517"/>
    <w:rsid w:val="00306146"/>
    <w:rsid w:val="00311505"/>
    <w:rsid w:val="00317E74"/>
    <w:rsid w:val="00321214"/>
    <w:rsid w:val="00330639"/>
    <w:rsid w:val="00331EBE"/>
    <w:rsid w:val="00342ADF"/>
    <w:rsid w:val="00342C21"/>
    <w:rsid w:val="00350D1A"/>
    <w:rsid w:val="00361E9C"/>
    <w:rsid w:val="00370719"/>
    <w:rsid w:val="00370A6F"/>
    <w:rsid w:val="00373CCE"/>
    <w:rsid w:val="00386A1E"/>
    <w:rsid w:val="003961D3"/>
    <w:rsid w:val="003A39E1"/>
    <w:rsid w:val="003B77FC"/>
    <w:rsid w:val="003E19C7"/>
    <w:rsid w:val="00467CCB"/>
    <w:rsid w:val="00476735"/>
    <w:rsid w:val="004A1EE4"/>
    <w:rsid w:val="004A3478"/>
    <w:rsid w:val="004B23BD"/>
    <w:rsid w:val="004B3A42"/>
    <w:rsid w:val="004B5374"/>
    <w:rsid w:val="004C0392"/>
    <w:rsid w:val="004C6962"/>
    <w:rsid w:val="004D4594"/>
    <w:rsid w:val="004F4B9D"/>
    <w:rsid w:val="00525C60"/>
    <w:rsid w:val="00552FF0"/>
    <w:rsid w:val="005567D8"/>
    <w:rsid w:val="00557C3C"/>
    <w:rsid w:val="00557F9E"/>
    <w:rsid w:val="0057195C"/>
    <w:rsid w:val="005806CE"/>
    <w:rsid w:val="00585FA7"/>
    <w:rsid w:val="005952C7"/>
    <w:rsid w:val="005A6869"/>
    <w:rsid w:val="005A74B9"/>
    <w:rsid w:val="005E58E9"/>
    <w:rsid w:val="00601292"/>
    <w:rsid w:val="006104EE"/>
    <w:rsid w:val="00622DA3"/>
    <w:rsid w:val="00625FCA"/>
    <w:rsid w:val="00645D91"/>
    <w:rsid w:val="0066341E"/>
    <w:rsid w:val="00694C63"/>
    <w:rsid w:val="006A01AD"/>
    <w:rsid w:val="006B6308"/>
    <w:rsid w:val="006F2BFC"/>
    <w:rsid w:val="00700728"/>
    <w:rsid w:val="007050AE"/>
    <w:rsid w:val="007145EB"/>
    <w:rsid w:val="00752636"/>
    <w:rsid w:val="00767E32"/>
    <w:rsid w:val="00773512"/>
    <w:rsid w:val="007D31B6"/>
    <w:rsid w:val="007E7492"/>
    <w:rsid w:val="008326CC"/>
    <w:rsid w:val="00835C84"/>
    <w:rsid w:val="00851BD7"/>
    <w:rsid w:val="00865416"/>
    <w:rsid w:val="00876551"/>
    <w:rsid w:val="008771FA"/>
    <w:rsid w:val="008B6A42"/>
    <w:rsid w:val="008C5F83"/>
    <w:rsid w:val="008D571F"/>
    <w:rsid w:val="0090064A"/>
    <w:rsid w:val="009041F3"/>
    <w:rsid w:val="0092580D"/>
    <w:rsid w:val="0093442E"/>
    <w:rsid w:val="009455FE"/>
    <w:rsid w:val="0094598A"/>
    <w:rsid w:val="00986E8B"/>
    <w:rsid w:val="009A3A4C"/>
    <w:rsid w:val="009A64FF"/>
    <w:rsid w:val="009F6C06"/>
    <w:rsid w:val="00A22417"/>
    <w:rsid w:val="00A31719"/>
    <w:rsid w:val="00A62A63"/>
    <w:rsid w:val="00A63C6D"/>
    <w:rsid w:val="00A71B86"/>
    <w:rsid w:val="00A75FF0"/>
    <w:rsid w:val="00A844C1"/>
    <w:rsid w:val="00AB666E"/>
    <w:rsid w:val="00AF4DEC"/>
    <w:rsid w:val="00AF5EF0"/>
    <w:rsid w:val="00B068CD"/>
    <w:rsid w:val="00B5689F"/>
    <w:rsid w:val="00B7372A"/>
    <w:rsid w:val="00B81672"/>
    <w:rsid w:val="00B8348B"/>
    <w:rsid w:val="00B91F95"/>
    <w:rsid w:val="00B93250"/>
    <w:rsid w:val="00BA0BF0"/>
    <w:rsid w:val="00BA4BD8"/>
    <w:rsid w:val="00BB25CF"/>
    <w:rsid w:val="00BC11AB"/>
    <w:rsid w:val="00BD72BC"/>
    <w:rsid w:val="00BE098E"/>
    <w:rsid w:val="00BF306C"/>
    <w:rsid w:val="00C11D8E"/>
    <w:rsid w:val="00C179C7"/>
    <w:rsid w:val="00C406A0"/>
    <w:rsid w:val="00C5351E"/>
    <w:rsid w:val="00C54501"/>
    <w:rsid w:val="00C601B3"/>
    <w:rsid w:val="00C61CE3"/>
    <w:rsid w:val="00C644C5"/>
    <w:rsid w:val="00C74B15"/>
    <w:rsid w:val="00C76326"/>
    <w:rsid w:val="00C815A1"/>
    <w:rsid w:val="00C84915"/>
    <w:rsid w:val="00C90F0F"/>
    <w:rsid w:val="00CA5F5B"/>
    <w:rsid w:val="00CC1B26"/>
    <w:rsid w:val="00CC23E6"/>
    <w:rsid w:val="00CC37FB"/>
    <w:rsid w:val="00CD240E"/>
    <w:rsid w:val="00CD325B"/>
    <w:rsid w:val="00CD76B6"/>
    <w:rsid w:val="00CE435F"/>
    <w:rsid w:val="00CF3C8D"/>
    <w:rsid w:val="00D02DA3"/>
    <w:rsid w:val="00D31363"/>
    <w:rsid w:val="00D5752A"/>
    <w:rsid w:val="00D811C8"/>
    <w:rsid w:val="00DB0AEB"/>
    <w:rsid w:val="00DE5561"/>
    <w:rsid w:val="00DF06B8"/>
    <w:rsid w:val="00E02188"/>
    <w:rsid w:val="00E52058"/>
    <w:rsid w:val="00E60ADE"/>
    <w:rsid w:val="00E62A5C"/>
    <w:rsid w:val="00E904D3"/>
    <w:rsid w:val="00EA7938"/>
    <w:rsid w:val="00EB0904"/>
    <w:rsid w:val="00ED3836"/>
    <w:rsid w:val="00ED40F4"/>
    <w:rsid w:val="00EF039C"/>
    <w:rsid w:val="00EF75DA"/>
    <w:rsid w:val="00F07EBD"/>
    <w:rsid w:val="00F2482A"/>
    <w:rsid w:val="00F2783E"/>
    <w:rsid w:val="00F31513"/>
    <w:rsid w:val="00F35B65"/>
    <w:rsid w:val="00F46C87"/>
    <w:rsid w:val="00F71F59"/>
    <w:rsid w:val="00F72FDC"/>
    <w:rsid w:val="00F736AB"/>
    <w:rsid w:val="00F92F20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39"/>
    </o:shapedefaults>
    <o:shapelayout v:ext="edit">
      <o:idmap v:ext="edit" data="1"/>
    </o:shapelayout>
  </w:shapeDefaults>
  <w:decimalSymbol w:val=","/>
  <w:listSeparator w:val=","/>
  <w15:docId w15:val="{86AB4F17-E817-4AD8-AF0D-F39BDF3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sz w:val="22"/>
      <w:szCs w:val="22"/>
      <w:lang w:val="en-US" w:eastAsia="en-US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8D5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F3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C5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D240E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86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308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308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3C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3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a.ro/cadru-strategic/prezentare-poca-2014-2020/" TargetMode="External"/><Relationship Id="rId13" Type="http://schemas.openxmlformats.org/officeDocument/2006/relationships/hyperlink" Target="http://legislatie.just.ro/Public/DetaliiDocument/163943" TargetMode="External"/><Relationship Id="rId18" Type="http://schemas.openxmlformats.org/officeDocument/2006/relationships/hyperlink" Target="http://poca.ro/monitorizare-program/raport-anual-de-implementa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ca.ro/wp-content/uploads/2016/04/Plan-simplificare-revizuit_29032017_CNCISCAP.doc" TargetMode="External"/><Relationship Id="rId17" Type="http://schemas.openxmlformats.org/officeDocument/2006/relationships/hyperlink" Target="http://www.poca.ro/monitorizare-program/lista-operatiunilor-selectate-si-finanta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ca.ro/solicitare-finantar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/181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/181584" TargetMode="External"/><Relationship Id="rId10" Type="http://schemas.openxmlformats.org/officeDocument/2006/relationships/hyperlink" Target="http://legislatie.just.ro/Public/DetaliiDocument/1645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63005" TargetMode="External"/><Relationship Id="rId14" Type="http://schemas.openxmlformats.org/officeDocument/2006/relationships/hyperlink" Target="http://legislatie.just.ro/Public/DetaliiDocument/17337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CA9F-2FF2-49C6-85B4-D73EAFFE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1594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mircea.pavel</dc:creator>
  <cp:keywords/>
  <dc:description/>
  <cp:lastModifiedBy>claudia.vasilca</cp:lastModifiedBy>
  <cp:revision>4</cp:revision>
  <cp:lastPrinted>2016-03-31T11:01:00Z</cp:lastPrinted>
  <dcterms:created xsi:type="dcterms:W3CDTF">2020-09-25T10:18:00Z</dcterms:created>
  <dcterms:modified xsi:type="dcterms:W3CDTF">2020-09-28T13:02:00Z</dcterms:modified>
</cp:coreProperties>
</file>